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9ED" w:rsidRPr="005D482E" w:rsidRDefault="00FB29ED" w:rsidP="00FB29ED">
      <w:pPr>
        <w:tabs>
          <w:tab w:val="left" w:pos="0"/>
        </w:tabs>
        <w:spacing w:line="240" w:lineRule="exact"/>
        <w:ind w:right="-5267"/>
        <w:rPr>
          <w:rFonts w:ascii="Antique Olive Black" w:hAnsi="Antique Olive Black"/>
          <w:i/>
          <w:sz w:val="17"/>
          <w:szCs w:val="17"/>
        </w:rPr>
      </w:pPr>
      <w:r>
        <w:rPr>
          <w:i/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7677150" cy="2219325"/>
            <wp:effectExtent l="0" t="0" r="0" b="9525"/>
            <wp:wrapNone/>
            <wp:docPr id="1" name="Image 1" descr="entet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tete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9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9ED" w:rsidRPr="005D482E" w:rsidRDefault="00FB29ED" w:rsidP="00FB29ED">
      <w:pPr>
        <w:tabs>
          <w:tab w:val="left" w:pos="0"/>
        </w:tabs>
        <w:spacing w:line="240" w:lineRule="exact"/>
        <w:ind w:right="-5267"/>
        <w:rPr>
          <w:rFonts w:ascii="Antique Olive Black" w:hAnsi="Antique Olive Black"/>
          <w:i/>
          <w:sz w:val="17"/>
          <w:szCs w:val="17"/>
        </w:rPr>
      </w:pPr>
    </w:p>
    <w:p w:rsidR="00FB29ED" w:rsidRPr="005D482E" w:rsidRDefault="00FB29ED" w:rsidP="00FB29ED">
      <w:pPr>
        <w:tabs>
          <w:tab w:val="left" w:pos="0"/>
        </w:tabs>
        <w:spacing w:line="240" w:lineRule="exact"/>
        <w:ind w:right="-5267"/>
        <w:rPr>
          <w:rFonts w:ascii="Antique Olive Black" w:hAnsi="Antique Olive Black"/>
          <w:i/>
          <w:sz w:val="17"/>
          <w:szCs w:val="17"/>
        </w:rPr>
      </w:pPr>
    </w:p>
    <w:p w:rsidR="00FB29ED" w:rsidRPr="005D482E" w:rsidRDefault="00FB29ED" w:rsidP="00FB29ED">
      <w:pPr>
        <w:tabs>
          <w:tab w:val="left" w:pos="0"/>
        </w:tabs>
        <w:spacing w:line="240" w:lineRule="exact"/>
        <w:ind w:right="-5267"/>
        <w:rPr>
          <w:rFonts w:ascii="Antique Olive Black" w:hAnsi="Antique Olive Black"/>
          <w:i/>
          <w:sz w:val="17"/>
          <w:szCs w:val="17"/>
        </w:rPr>
      </w:pPr>
    </w:p>
    <w:p w:rsidR="00FB29ED" w:rsidRPr="005D482E" w:rsidRDefault="00FB29ED" w:rsidP="00FB29ED">
      <w:pPr>
        <w:tabs>
          <w:tab w:val="left" w:pos="0"/>
        </w:tabs>
        <w:spacing w:line="240" w:lineRule="exact"/>
        <w:ind w:right="-5267"/>
        <w:rPr>
          <w:rFonts w:ascii="Antique Olive Black" w:hAnsi="Antique Olive Black"/>
          <w:i/>
          <w:sz w:val="17"/>
          <w:szCs w:val="17"/>
        </w:rPr>
      </w:pPr>
    </w:p>
    <w:p w:rsidR="00FB29ED" w:rsidRPr="005D482E" w:rsidRDefault="00FB29ED" w:rsidP="00FB29ED">
      <w:pPr>
        <w:tabs>
          <w:tab w:val="left" w:pos="0"/>
        </w:tabs>
        <w:spacing w:line="240" w:lineRule="exact"/>
        <w:ind w:right="-5267"/>
        <w:rPr>
          <w:rFonts w:ascii="Arial Narrow" w:hAnsi="Arial Narrow"/>
          <w:b/>
          <w:i/>
        </w:rPr>
      </w:pPr>
      <w:r w:rsidRPr="005D482E">
        <w:rPr>
          <w:rFonts w:ascii="Arial Narrow" w:hAnsi="Arial Narrow"/>
          <w:b/>
          <w:i/>
        </w:rPr>
        <w:tab/>
      </w:r>
    </w:p>
    <w:p w:rsidR="00FB29ED" w:rsidRPr="005D482E" w:rsidRDefault="00FB29ED" w:rsidP="00FB29ED">
      <w:pPr>
        <w:tabs>
          <w:tab w:val="left" w:pos="0"/>
        </w:tabs>
        <w:spacing w:line="240" w:lineRule="exact"/>
        <w:ind w:right="-5267"/>
        <w:rPr>
          <w:rFonts w:ascii="Arial Narrow" w:hAnsi="Arial Narrow"/>
          <w:b/>
          <w:i/>
        </w:rPr>
      </w:pPr>
    </w:p>
    <w:p w:rsidR="00FB29ED" w:rsidRPr="005D482E" w:rsidRDefault="00FB29ED" w:rsidP="00FB29ED">
      <w:pPr>
        <w:tabs>
          <w:tab w:val="left" w:pos="0"/>
        </w:tabs>
        <w:spacing w:line="240" w:lineRule="exact"/>
        <w:ind w:right="-5267"/>
        <w:rPr>
          <w:rFonts w:ascii="Arial Narrow" w:hAnsi="Arial Narrow"/>
          <w:b/>
          <w:i/>
        </w:rPr>
      </w:pPr>
    </w:p>
    <w:p w:rsidR="00FB29ED" w:rsidRDefault="00FB29ED" w:rsidP="00FB29ED">
      <w:pPr>
        <w:tabs>
          <w:tab w:val="left" w:pos="0"/>
        </w:tabs>
        <w:spacing w:line="240" w:lineRule="exact"/>
        <w:ind w:right="-5267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Le 25.07. 2016</w:t>
      </w:r>
    </w:p>
    <w:p w:rsidR="00FB29ED" w:rsidRPr="005D482E" w:rsidRDefault="00FB29ED" w:rsidP="00FB29ED">
      <w:pPr>
        <w:tabs>
          <w:tab w:val="left" w:pos="0"/>
        </w:tabs>
        <w:spacing w:line="240" w:lineRule="exact"/>
        <w:ind w:right="-5267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A Bordeaux.</w:t>
      </w:r>
    </w:p>
    <w:p w:rsidR="00FB29ED" w:rsidRPr="005D482E" w:rsidRDefault="00FB29ED" w:rsidP="00FB29ED">
      <w:pPr>
        <w:tabs>
          <w:tab w:val="left" w:pos="0"/>
        </w:tabs>
        <w:spacing w:line="240" w:lineRule="exact"/>
        <w:ind w:right="-5267"/>
        <w:rPr>
          <w:rFonts w:ascii="Arial Narrow" w:hAnsi="Arial Narrow"/>
          <w:b/>
          <w:i/>
        </w:rPr>
      </w:pPr>
      <w:r w:rsidRPr="005D482E">
        <w:rPr>
          <w:rFonts w:ascii="Arial Narrow" w:hAnsi="Arial Narrow"/>
          <w:b/>
          <w:i/>
        </w:rPr>
        <w:tab/>
      </w:r>
    </w:p>
    <w:p w:rsidR="00FB29ED" w:rsidRPr="005D482E" w:rsidRDefault="00FB29ED" w:rsidP="00FB29ED">
      <w:pPr>
        <w:rPr>
          <w:rFonts w:ascii="Arial Narrow" w:hAnsi="Arial Narrow"/>
          <w:i/>
        </w:rPr>
      </w:pPr>
    </w:p>
    <w:p w:rsidR="00FB29ED" w:rsidRDefault="00FB29ED" w:rsidP="00FB29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 Narrow" w:hAnsi="Arial Narrow"/>
          <w:b/>
          <w:i/>
        </w:rPr>
      </w:pPr>
    </w:p>
    <w:p w:rsidR="00FB29ED" w:rsidRPr="005D482E" w:rsidRDefault="00FB29ED" w:rsidP="00FB29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Calibri" w:hAnsi="Calibri"/>
          <w:b/>
          <w:i/>
        </w:rPr>
      </w:pPr>
      <w:r>
        <w:rPr>
          <w:rFonts w:ascii="Arial Narrow" w:hAnsi="Arial Narrow"/>
          <w:b/>
          <w:i/>
        </w:rPr>
        <w:t>OBJET : Récapitulatif des éléments du lot étanchéité.</w:t>
      </w:r>
    </w:p>
    <w:p w:rsidR="00FB29ED" w:rsidRPr="005D482E" w:rsidRDefault="00FB29ED" w:rsidP="00FB29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Calibri" w:hAnsi="Calibri"/>
          <w:b/>
          <w:i/>
        </w:rPr>
      </w:pPr>
    </w:p>
    <w:p w:rsidR="00FB29ED" w:rsidRPr="005D482E" w:rsidRDefault="00FB29ED" w:rsidP="00FB29ED">
      <w:pPr>
        <w:rPr>
          <w:rFonts w:ascii="Calibri" w:hAnsi="Calibri"/>
          <w:i/>
        </w:rPr>
      </w:pPr>
    </w:p>
    <w:p w:rsidR="00FB29ED" w:rsidRDefault="00FB29ED" w:rsidP="00FB29ED">
      <w:pPr>
        <w:ind w:right="-518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Référence de dossier : IDF/RCD/30519/PC</w:t>
      </w:r>
    </w:p>
    <w:p w:rsidR="00FB29ED" w:rsidRDefault="00FB29ED" w:rsidP="00EC1A9C"/>
    <w:p w:rsidR="00EC1A9C" w:rsidRDefault="006226D8" w:rsidP="00EC1A9C">
      <w:r>
        <w:t>Concernant le</w:t>
      </w:r>
      <w:r w:rsidR="00EC1A9C">
        <w:t>s visas transmis à l’entreprise pour le lot étanchéité :</w:t>
      </w:r>
    </w:p>
    <w:p w:rsidR="00EC1A9C" w:rsidRDefault="00EC1A9C" w:rsidP="00EC1A9C">
      <w:pPr>
        <w:pStyle w:val="Paragraphedeliste"/>
        <w:numPr>
          <w:ilvl w:val="0"/>
          <w:numId w:val="2"/>
        </w:numPr>
        <w:rPr>
          <w:rFonts w:cs="Profile"/>
        </w:rPr>
      </w:pPr>
      <w:r>
        <w:rPr>
          <w:rFonts w:cs="Profile"/>
        </w:rPr>
        <w:t>La MOE a transmis un premier VISA (</w:t>
      </w:r>
      <w:r w:rsidRPr="006B39F9">
        <w:rPr>
          <w:rFonts w:cs="Profile"/>
          <w:color w:val="FF0000"/>
        </w:rPr>
        <w:t>visa 23 daté du 23 Mars 2013</w:t>
      </w:r>
      <w:r>
        <w:rPr>
          <w:rFonts w:cs="Profile"/>
        </w:rPr>
        <w:t>) faisant état d’observations sur le positionnement de l’étanchéité sur l’isolant. (page 2).</w:t>
      </w:r>
    </w:p>
    <w:p w:rsidR="00EC1A9C" w:rsidRPr="00FB29ED" w:rsidRDefault="00EC1A9C" w:rsidP="00FB29ED">
      <w:pPr>
        <w:pStyle w:val="Paragraphedeliste"/>
        <w:numPr>
          <w:ilvl w:val="0"/>
          <w:numId w:val="2"/>
        </w:numPr>
        <w:rPr>
          <w:rFonts w:cs="Profile"/>
        </w:rPr>
      </w:pPr>
      <w:r>
        <w:rPr>
          <w:rFonts w:cs="Profile"/>
        </w:rPr>
        <w:t>La MOE a transmis un visa (</w:t>
      </w:r>
      <w:r w:rsidRPr="006B39F9">
        <w:rPr>
          <w:rFonts w:cs="Profile"/>
          <w:color w:val="FF0000"/>
        </w:rPr>
        <w:t>visa 29 daté du 22 Mai 2013</w:t>
      </w:r>
      <w:r>
        <w:rPr>
          <w:rFonts w:cs="Profile"/>
        </w:rPr>
        <w:t xml:space="preserve">) faisant état d’observations ne concernant pas le lot étanchéité mais des remarques sur les lots qui interagissent avec l’étanchéité (grille de caniveau…) Les plans annoté sont jointes à ce visa. </w:t>
      </w:r>
    </w:p>
    <w:p w:rsidR="00EC1A9C" w:rsidRPr="005549E7" w:rsidRDefault="00EC1A9C" w:rsidP="00EC1A9C">
      <w:pPr>
        <w:rPr>
          <w:b/>
          <w:u w:val="single"/>
        </w:rPr>
      </w:pPr>
      <w:r w:rsidRPr="005549E7">
        <w:rPr>
          <w:b/>
          <w:u w:val="single"/>
        </w:rPr>
        <w:t xml:space="preserve">Remarques sur les comptes rendus relatifs </w:t>
      </w:r>
      <w:r>
        <w:rPr>
          <w:b/>
          <w:u w:val="single"/>
        </w:rPr>
        <w:t>à l’étanchéité</w:t>
      </w:r>
      <w:r w:rsidRPr="005549E7">
        <w:rPr>
          <w:b/>
          <w:u w:val="single"/>
        </w:rPr>
        <w:t> :</w:t>
      </w:r>
    </w:p>
    <w:p w:rsidR="00EC1A9C" w:rsidRDefault="00EC1A9C" w:rsidP="00EC1A9C">
      <w:pPr>
        <w:rPr>
          <w:rFonts w:cs="Profile"/>
          <w:color w:val="FF0000"/>
        </w:rPr>
      </w:pPr>
      <w:r>
        <w:rPr>
          <w:rFonts w:cs="Profile"/>
        </w:rPr>
        <w:t xml:space="preserve">CR 61 (page 7) – </w:t>
      </w:r>
      <w:r w:rsidRPr="00D002F2">
        <w:rPr>
          <w:rFonts w:cs="Profile"/>
          <w:color w:val="FF0000"/>
        </w:rPr>
        <w:t>La MOE précise de ne pas stocker de matériel sur les étanchéités non protégées, risque de poinçonnement.</w:t>
      </w:r>
    </w:p>
    <w:p w:rsidR="00FB29ED" w:rsidRDefault="00FB29ED" w:rsidP="00EC1A9C">
      <w:pPr>
        <w:rPr>
          <w:rFonts w:cs="Profile"/>
        </w:rPr>
      </w:pPr>
    </w:p>
    <w:p w:rsidR="00944AAB" w:rsidRDefault="00944AAB" w:rsidP="00EC1A9C">
      <w:pPr>
        <w:rPr>
          <w:rFonts w:cs="Profile"/>
        </w:rPr>
      </w:pPr>
    </w:p>
    <w:p w:rsidR="00944AAB" w:rsidRDefault="00944AAB" w:rsidP="00EC1A9C">
      <w:pPr>
        <w:rPr>
          <w:rFonts w:cs="Profile"/>
        </w:rPr>
      </w:pPr>
    </w:p>
    <w:p w:rsidR="00FB29ED" w:rsidRDefault="00FB29ED" w:rsidP="00EC1A9C">
      <w:pPr>
        <w:rPr>
          <w:rFonts w:cs="Profile"/>
        </w:rPr>
      </w:pPr>
    </w:p>
    <w:p w:rsidR="00DC389A" w:rsidRPr="00DC389A" w:rsidRDefault="00DC389A" w:rsidP="00EC1A9C">
      <w:pPr>
        <w:rPr>
          <w:rFonts w:cs="Profile"/>
          <w:b/>
          <w:u w:val="single"/>
        </w:rPr>
      </w:pPr>
      <w:r w:rsidRPr="00DC389A">
        <w:rPr>
          <w:rFonts w:cs="Profile"/>
          <w:b/>
          <w:u w:val="single"/>
        </w:rPr>
        <w:lastRenderedPageBreak/>
        <w:t>Remarques sur les demandes des essais de mise en eau des terrasses :</w:t>
      </w:r>
    </w:p>
    <w:p w:rsidR="00DC389A" w:rsidRPr="00D002F2" w:rsidRDefault="00944AAB" w:rsidP="00EC1A9C">
      <w:pPr>
        <w:rPr>
          <w:rFonts w:cs="Profile"/>
        </w:rPr>
      </w:pPr>
      <w:r>
        <w:rPr>
          <w:rFonts w:cs="Profile"/>
        </w:rPr>
        <w:t>L’entreprise général Dumez a obligation de réceptionner les ouvrages de ses sous-traitants (</w:t>
      </w:r>
      <w:proofErr w:type="spellStart"/>
      <w:r>
        <w:rPr>
          <w:rFonts w:cs="Profile"/>
        </w:rPr>
        <w:t>Ruberoid</w:t>
      </w:r>
      <w:proofErr w:type="spellEnd"/>
      <w:r>
        <w:rPr>
          <w:rFonts w:cs="Profile"/>
        </w:rPr>
        <w:t>, DMPTP). L’entreprise ne nous a pas transmis de copie de ses autocontrôles.</w:t>
      </w:r>
    </w:p>
    <w:p w:rsidR="00EC1A9C" w:rsidRPr="006B39F9" w:rsidRDefault="006B39F9" w:rsidP="00EC1A9C">
      <w:pPr>
        <w:rPr>
          <w:rFonts w:cs="Profile"/>
          <w:b/>
          <w:u w:val="single"/>
        </w:rPr>
      </w:pPr>
      <w:r w:rsidRPr="006B39F9">
        <w:rPr>
          <w:rFonts w:cs="Profile"/>
          <w:b/>
          <w:u w:val="single"/>
        </w:rPr>
        <w:t>Remarques sur le CCTP lot étanchéité :</w:t>
      </w:r>
    </w:p>
    <w:p w:rsidR="006B39F9" w:rsidRPr="00A6141B" w:rsidRDefault="006B39F9" w:rsidP="00EC1A9C">
      <w:pPr>
        <w:rPr>
          <w:rFonts w:cs="Profile"/>
          <w:color w:val="FF0000"/>
        </w:rPr>
      </w:pPr>
      <w:r>
        <w:rPr>
          <w:rFonts w:cs="Profile"/>
        </w:rPr>
        <w:t xml:space="preserve">La MOE précise que le CCTP lot étanchéité </w:t>
      </w:r>
      <w:r w:rsidRPr="00A6141B">
        <w:rPr>
          <w:rFonts w:cs="Profile"/>
          <w:color w:val="FF0000"/>
        </w:rPr>
        <w:t xml:space="preserve">demande la mise en place de tests d’étanchéité (page 3 du CCTP joint) à réaliser par l’entreprise. </w:t>
      </w:r>
    </w:p>
    <w:p w:rsidR="006B39F9" w:rsidRPr="00A6141B" w:rsidRDefault="006B39F9" w:rsidP="00EC1A9C">
      <w:pPr>
        <w:rPr>
          <w:rFonts w:cs="Profile"/>
          <w:color w:val="FF0000"/>
        </w:rPr>
      </w:pPr>
      <w:r>
        <w:rPr>
          <w:rFonts w:cs="Profile"/>
        </w:rPr>
        <w:t xml:space="preserve">LA MOE demande également dans le CCTP (page 14) </w:t>
      </w:r>
      <w:r w:rsidRPr="00A6141B">
        <w:rPr>
          <w:rFonts w:cs="Profile"/>
          <w:color w:val="FF0000"/>
        </w:rPr>
        <w:t>la mise en place de protections lourdes  (couche de granulats conforme à la norme NF P 84-204 (DTU 43-1)</w:t>
      </w:r>
    </w:p>
    <w:p w:rsidR="006B39F9" w:rsidRPr="00A6141B" w:rsidRDefault="006B39F9" w:rsidP="00EC1A9C">
      <w:pPr>
        <w:rPr>
          <w:rFonts w:cs="Profile"/>
          <w:color w:val="FF0000"/>
        </w:rPr>
      </w:pPr>
      <w:r>
        <w:rPr>
          <w:rFonts w:cs="Profile"/>
        </w:rPr>
        <w:t xml:space="preserve">La MOE a également demandé (page 18 du CCTP) à l’entreprise de prévoir </w:t>
      </w:r>
      <w:r w:rsidRPr="00A6141B">
        <w:rPr>
          <w:rFonts w:cs="Profile"/>
          <w:color w:val="FF0000"/>
        </w:rPr>
        <w:t>tous dispositifs nécessaires à la protection des ouvrages réalisés, de même que le nettoyage éventuels des ouvrages des autres corps d’états salis durant l’exécution de ses prestations.</w:t>
      </w:r>
    </w:p>
    <w:p w:rsidR="00CB0CAB" w:rsidRPr="00DC389A" w:rsidRDefault="006B1CFD" w:rsidP="007A2787">
      <w:pPr>
        <w:autoSpaceDE w:val="0"/>
        <w:autoSpaceDN w:val="0"/>
        <w:adjustRightInd w:val="0"/>
        <w:spacing w:after="0" w:line="240" w:lineRule="auto"/>
        <w:rPr>
          <w:rFonts w:cs="Profile"/>
          <w:b/>
          <w:u w:val="single"/>
        </w:rPr>
      </w:pPr>
      <w:r w:rsidRPr="00DC389A">
        <w:rPr>
          <w:rFonts w:cs="Profile"/>
          <w:b/>
          <w:u w:val="single"/>
        </w:rPr>
        <w:t>Remarques sur les photos jointes :</w:t>
      </w:r>
    </w:p>
    <w:p w:rsidR="006B1CFD" w:rsidRDefault="006B1CF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944AAB" w:rsidRDefault="00944AAB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  <w:r>
        <w:rPr>
          <w:rFonts w:cs="Profile"/>
        </w:rPr>
        <w:t>Vous trouverez ci-joint une série de photos attestant de notre présence hebdomadaire sur le chantier et montrant notre vigilance quant au suivi du chantier.</w:t>
      </w:r>
      <w:bookmarkStart w:id="0" w:name="_GoBack"/>
      <w:bookmarkEnd w:id="0"/>
    </w:p>
    <w:p w:rsidR="00944AAB" w:rsidRDefault="00944AAB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6B1CFD" w:rsidRDefault="006B1CF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  <w:r>
        <w:rPr>
          <w:rFonts w:cs="Profile"/>
        </w:rPr>
        <w:t>Photo 1 (daté du 21 06 2013) – montre la pose de l’étanchéité. La MOE tient à mettre en évidence la propreté du chantier.</w:t>
      </w:r>
    </w:p>
    <w:p w:rsidR="006B1CFD" w:rsidRDefault="006B1CF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6B1CFD" w:rsidRDefault="006B1CF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  <w:r>
        <w:rPr>
          <w:rFonts w:cs="Profile"/>
        </w:rPr>
        <w:t>Photo 2 (daté du 29 06 2013) – montre la fin de la pose de l’étanchéité. Des sacs de granulats sont en attente d’être utilisé pour la réalisation de la protection lourde. La Moe tient à mettre en évidence que les éléments posé sur la terrasse sont posé sur des plaques en bois pour éviter tout poinçonnement.</w:t>
      </w:r>
    </w:p>
    <w:p w:rsidR="006B1CFD" w:rsidRDefault="006B1CF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6B1CFD" w:rsidRDefault="006B1CF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  <w:r>
        <w:rPr>
          <w:rFonts w:cs="Profile"/>
        </w:rPr>
        <w:t>Photo 3 (daté du 16 09 2013) – montre l’ensemble de la protection lourde mise en place.</w:t>
      </w:r>
    </w:p>
    <w:p w:rsidR="006B1CFD" w:rsidRDefault="006B1CF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6B1CFD" w:rsidRDefault="006B1CF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  <w:r>
        <w:rPr>
          <w:rFonts w:cs="Profile"/>
        </w:rPr>
        <w:t>Photo 4 (daté du 05 13 2013) montre la chape béton coulé (en bas à gauche de l’image).</w:t>
      </w:r>
    </w:p>
    <w:p w:rsidR="006B1CFD" w:rsidRDefault="006B1CF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6B1CFD" w:rsidRDefault="006B1CF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  <w:r>
        <w:rPr>
          <w:rFonts w:cs="Profile"/>
        </w:rPr>
        <w:t>Photo 5 (daté du 05 11 2013) montre le sol souple coulé en place et les pots.</w:t>
      </w:r>
    </w:p>
    <w:p w:rsidR="006B1CFD" w:rsidRDefault="006B1CF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FB29ED" w:rsidRDefault="00FB29E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FB29ED" w:rsidRDefault="00FB29E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  <w:r>
        <w:rPr>
          <w:rFonts w:cs="Profile"/>
        </w:rPr>
        <w:t xml:space="preserve">L’ensemble des éléments mentionné dans ce courrier (photos, mails, comptes </w:t>
      </w:r>
      <w:proofErr w:type="gramStart"/>
      <w:r>
        <w:rPr>
          <w:rFonts w:cs="Profile"/>
        </w:rPr>
        <w:t>rendus )</w:t>
      </w:r>
      <w:proofErr w:type="gramEnd"/>
      <w:r>
        <w:rPr>
          <w:rFonts w:cs="Profile"/>
        </w:rPr>
        <w:t xml:space="preserve"> sont joint au courrier.</w:t>
      </w:r>
    </w:p>
    <w:p w:rsidR="006B1CFD" w:rsidRDefault="006B1CF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  <w:r>
        <w:rPr>
          <w:rFonts w:cs="Profile"/>
        </w:rPr>
        <w:t xml:space="preserve"> </w:t>
      </w:r>
    </w:p>
    <w:p w:rsidR="00FB29ED" w:rsidRDefault="00FB29E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FB29ED" w:rsidRPr="00FB29ED" w:rsidRDefault="00FB29ED" w:rsidP="00FB29ED">
      <w:pPr>
        <w:rPr>
          <w:color w:val="FF0000"/>
        </w:rPr>
      </w:pPr>
      <w:r w:rsidRPr="00FB29ED">
        <w:rPr>
          <w:color w:val="FF0000"/>
        </w:rPr>
        <w:t>Nous souhaitons vous rappeler que le bâtiment reste, à ce jour, en année de parfaite achèvement (GPA) et qu’il est de notre avis que les responsabilités et les frais de réparation sont à la charge de l’entreprise.</w:t>
      </w:r>
    </w:p>
    <w:p w:rsidR="00FB29ED" w:rsidRDefault="00FB29ED" w:rsidP="00FB29ED">
      <w:pPr>
        <w:ind w:left="-2410"/>
      </w:pPr>
    </w:p>
    <w:p w:rsidR="00FB29ED" w:rsidRDefault="00FB29ED" w:rsidP="00FB29ED"/>
    <w:p w:rsidR="00FB29ED" w:rsidRDefault="00FB29ED" w:rsidP="00FB29ED">
      <w:r>
        <w:t xml:space="preserve">Nous vous rappelons nos références auprès de la MAF : </w:t>
      </w:r>
    </w:p>
    <w:p w:rsidR="00FB29ED" w:rsidRDefault="00FB29ED" w:rsidP="00FB29ED">
      <w:pPr>
        <w:ind w:left="-2410"/>
      </w:pPr>
    </w:p>
    <w:p w:rsidR="00FB29ED" w:rsidRDefault="00FB29ED" w:rsidP="00FB29ED">
      <w:pPr>
        <w:rPr>
          <w:b/>
          <w:bCs/>
          <w:lang w:val="en-GB"/>
        </w:rPr>
      </w:pPr>
      <w:r>
        <w:rPr>
          <w:b/>
          <w:bCs/>
          <w:lang w:val="en-GB"/>
        </w:rPr>
        <w:lastRenderedPageBreak/>
        <w:t>CG 14 999 126500 A / 75</w:t>
      </w:r>
    </w:p>
    <w:p w:rsidR="00FB29ED" w:rsidRDefault="00FB29ED" w:rsidP="00FB29ED">
      <w:pPr>
        <w:rPr>
          <w:b/>
          <w:bCs/>
          <w:lang w:val="en-GB"/>
        </w:rPr>
      </w:pPr>
      <w:r>
        <w:rPr>
          <w:b/>
          <w:bCs/>
          <w:lang w:val="en-GB"/>
        </w:rPr>
        <w:t>HESSAMFAR-VERONS ARCH. ASS /</w:t>
      </w:r>
    </w:p>
    <w:p w:rsidR="00FB29ED" w:rsidRPr="004605DE" w:rsidRDefault="00FB29ED" w:rsidP="00FB29ED">
      <w:pPr>
        <w:rPr>
          <w:b/>
          <w:bCs/>
        </w:rPr>
      </w:pPr>
      <w:r w:rsidRPr="004605DE">
        <w:rPr>
          <w:b/>
          <w:bCs/>
        </w:rPr>
        <w:t>CENTRE D’ACCUEIL D’URGENCE</w:t>
      </w:r>
    </w:p>
    <w:p w:rsidR="00FB29ED" w:rsidRPr="004605DE" w:rsidRDefault="00FB29ED" w:rsidP="00FB29ED">
      <w:pPr>
        <w:rPr>
          <w:b/>
          <w:bCs/>
        </w:rPr>
      </w:pPr>
      <w:r w:rsidRPr="004605DE">
        <w:rPr>
          <w:b/>
          <w:bCs/>
        </w:rPr>
        <w:t xml:space="preserve">38-46 rue Paul </w:t>
      </w:r>
      <w:proofErr w:type="spellStart"/>
      <w:r w:rsidRPr="004605DE">
        <w:rPr>
          <w:b/>
          <w:bCs/>
        </w:rPr>
        <w:t>Meurice</w:t>
      </w:r>
      <w:proofErr w:type="spellEnd"/>
      <w:r w:rsidRPr="004605DE">
        <w:rPr>
          <w:b/>
          <w:bCs/>
        </w:rPr>
        <w:t>, 75020 Paris.</w:t>
      </w:r>
    </w:p>
    <w:p w:rsidR="00FB29ED" w:rsidRPr="004605DE" w:rsidRDefault="00FB29ED" w:rsidP="00FB29ED">
      <w:pPr>
        <w:ind w:left="-2410"/>
        <w:rPr>
          <w:b/>
          <w:bCs/>
        </w:rPr>
      </w:pPr>
    </w:p>
    <w:p w:rsidR="00FB29ED" w:rsidRDefault="00FB29ED" w:rsidP="00FB29ED">
      <w:pPr>
        <w:rPr>
          <w:b/>
          <w:bCs/>
        </w:rPr>
      </w:pPr>
      <w:r>
        <w:rPr>
          <w:b/>
          <w:bCs/>
        </w:rPr>
        <w:t>N° d’identification MAF : 254847/H/2</w:t>
      </w:r>
    </w:p>
    <w:p w:rsidR="00FB29ED" w:rsidRDefault="00FB29ED" w:rsidP="00FB29ED">
      <w:pPr>
        <w:rPr>
          <w:b/>
          <w:bCs/>
        </w:rPr>
      </w:pPr>
      <w:r>
        <w:rPr>
          <w:b/>
          <w:bCs/>
        </w:rPr>
        <w:t>N° d’inscription national à l’Ordre : S06079</w:t>
      </w:r>
    </w:p>
    <w:p w:rsidR="00FB29ED" w:rsidRDefault="00FB29ED" w:rsidP="00FB29ED">
      <w:pPr>
        <w:rPr>
          <w:b/>
          <w:bCs/>
        </w:rPr>
      </w:pPr>
      <w:r>
        <w:rPr>
          <w:b/>
          <w:bCs/>
        </w:rPr>
        <w:t>Une Police N° : 141354/B</w:t>
      </w:r>
    </w:p>
    <w:p w:rsidR="00FB29ED" w:rsidRDefault="00FB29ED" w:rsidP="00FB29ED"/>
    <w:p w:rsidR="00FB29ED" w:rsidRDefault="00FB29ED" w:rsidP="00FB29ED">
      <w:r>
        <w:t>Cordialement,</w:t>
      </w:r>
    </w:p>
    <w:p w:rsidR="00FB29ED" w:rsidRDefault="00FB29ED" w:rsidP="00FB29ED">
      <w:pPr>
        <w:ind w:left="-2410"/>
        <w:jc w:val="both"/>
        <w:rPr>
          <w:rFonts w:ascii="Calibri" w:hAnsi="Calibri"/>
          <w:i/>
        </w:rPr>
      </w:pPr>
    </w:p>
    <w:p w:rsidR="00FB29ED" w:rsidRDefault="00FB29ED" w:rsidP="00FB29ED">
      <w:pPr>
        <w:jc w:val="both"/>
        <w:rPr>
          <w:rFonts w:ascii="Calibri" w:hAnsi="Calibri"/>
          <w:i/>
        </w:rPr>
      </w:pPr>
      <w:proofErr w:type="spellStart"/>
      <w:r>
        <w:rPr>
          <w:rFonts w:ascii="Calibri" w:hAnsi="Calibri"/>
          <w:i/>
        </w:rPr>
        <w:t>Fadil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Foondun</w:t>
      </w:r>
      <w:proofErr w:type="spellEnd"/>
      <w:r>
        <w:rPr>
          <w:rFonts w:ascii="Calibri" w:hAnsi="Calibri"/>
          <w:i/>
        </w:rPr>
        <w:t>,</w:t>
      </w:r>
    </w:p>
    <w:p w:rsidR="00FB29ED" w:rsidRPr="005D482E" w:rsidRDefault="00FB29ED" w:rsidP="00FB29ED">
      <w:p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Chargé d’affaires.</w:t>
      </w:r>
      <w:r w:rsidRPr="005D482E">
        <w:rPr>
          <w:rFonts w:ascii="Calibri" w:hAnsi="Calibri"/>
          <w:i/>
        </w:rPr>
        <w:tab/>
      </w:r>
    </w:p>
    <w:p w:rsidR="00FB29ED" w:rsidRPr="0001547B" w:rsidRDefault="00FB29ED" w:rsidP="00FB29ED">
      <w:pPr>
        <w:ind w:left="-1548"/>
        <w:rPr>
          <w:rFonts w:ascii="Calibri" w:hAnsi="Calibri"/>
          <w:b/>
          <w:i/>
        </w:rPr>
      </w:pPr>
    </w:p>
    <w:p w:rsidR="00FB29ED" w:rsidRPr="00C82377" w:rsidRDefault="00FB29ED" w:rsidP="00FB29ED">
      <w:pPr>
        <w:jc w:val="right"/>
        <w:rPr>
          <w:rFonts w:ascii="Calibri" w:hAnsi="Calibri"/>
          <w:i/>
          <w:sz w:val="18"/>
          <w:szCs w:val="18"/>
          <w:u w:val="single"/>
        </w:rPr>
      </w:pPr>
      <w:r w:rsidRPr="005D482E">
        <w:rPr>
          <w:rFonts w:ascii="Calibri" w:hAnsi="Calibri"/>
          <w:i/>
          <w:sz w:val="18"/>
          <w:szCs w:val="18"/>
          <w:u w:val="single"/>
        </w:rPr>
        <w:t>Signature et cachet du Maitre d’œuvr</w:t>
      </w:r>
      <w:r>
        <w:rPr>
          <w:rFonts w:ascii="Calibri" w:hAnsi="Calibri"/>
          <w:i/>
          <w:sz w:val="18"/>
          <w:szCs w:val="18"/>
          <w:u w:val="single"/>
        </w:rPr>
        <w:t>e mandataire</w:t>
      </w:r>
      <w:r w:rsidRPr="005D482E">
        <w:rPr>
          <w:rFonts w:ascii="Calibri" w:hAnsi="Calibri"/>
          <w:i/>
          <w:sz w:val="18"/>
          <w:szCs w:val="18"/>
        </w:rPr>
        <w:t xml:space="preserve">  </w:t>
      </w:r>
      <w:r>
        <w:rPr>
          <w:rFonts w:ascii="Calibri" w:hAnsi="Calibri"/>
          <w:i/>
          <w:sz w:val="18"/>
          <w:szCs w:val="18"/>
        </w:rPr>
        <w:tab/>
      </w:r>
      <w:r w:rsidRPr="005D482E">
        <w:rPr>
          <w:rFonts w:ascii="Calibri" w:hAnsi="Calibri"/>
          <w:i/>
          <w:sz w:val="18"/>
          <w:szCs w:val="18"/>
        </w:rPr>
        <w:t xml:space="preserve">                   </w:t>
      </w: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871855</wp:posOffset>
            </wp:positionH>
            <wp:positionV relativeFrom="paragraph">
              <wp:posOffset>3810</wp:posOffset>
            </wp:positionV>
            <wp:extent cx="2562225" cy="1152525"/>
            <wp:effectExtent l="0" t="0" r="9525" b="9525"/>
            <wp:wrapNone/>
            <wp:docPr id="2" name="Image 2" descr="tampon  agence - 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ampon  agence - sc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9ED" w:rsidRDefault="00FB29ED" w:rsidP="00FB29ED">
      <w:pPr>
        <w:ind w:left="-2268"/>
        <w:rPr>
          <w:rFonts w:ascii="Calibri" w:hAnsi="Calibri"/>
          <w:i/>
          <w:sz w:val="16"/>
          <w:szCs w:val="16"/>
        </w:rPr>
      </w:pPr>
    </w:p>
    <w:p w:rsidR="00FB29ED" w:rsidRDefault="00FB29ED" w:rsidP="00FB29ED">
      <w:pPr>
        <w:ind w:left="-2268"/>
        <w:rPr>
          <w:rFonts w:ascii="Calibri" w:hAnsi="Calibri"/>
          <w:i/>
          <w:sz w:val="16"/>
          <w:szCs w:val="16"/>
        </w:rPr>
      </w:pPr>
    </w:p>
    <w:p w:rsidR="00FB29ED" w:rsidRDefault="00FB29ED" w:rsidP="00FB29ED">
      <w:pPr>
        <w:ind w:left="-2268"/>
        <w:rPr>
          <w:rFonts w:ascii="Calibri" w:hAnsi="Calibri"/>
          <w:i/>
          <w:sz w:val="16"/>
          <w:szCs w:val="16"/>
        </w:rPr>
      </w:pPr>
    </w:p>
    <w:p w:rsidR="00FB29ED" w:rsidRDefault="00FB29ED" w:rsidP="00FB29ED">
      <w:pPr>
        <w:ind w:left="-2268"/>
        <w:rPr>
          <w:rFonts w:ascii="Calibri" w:hAnsi="Calibri"/>
          <w:i/>
          <w:sz w:val="16"/>
          <w:szCs w:val="16"/>
        </w:rPr>
      </w:pPr>
    </w:p>
    <w:p w:rsidR="00FB29ED" w:rsidRDefault="00FB29ED" w:rsidP="00FB29ED">
      <w:pPr>
        <w:ind w:left="-2268"/>
        <w:rPr>
          <w:rFonts w:ascii="Calibri" w:hAnsi="Calibri"/>
          <w:i/>
          <w:sz w:val="16"/>
          <w:szCs w:val="16"/>
        </w:rPr>
      </w:pPr>
    </w:p>
    <w:p w:rsidR="00FB29ED" w:rsidRPr="005D482E" w:rsidRDefault="00FB29ED" w:rsidP="00FB29ED">
      <w:pPr>
        <w:rPr>
          <w:rFonts w:ascii="Calibri" w:hAnsi="Calibri"/>
          <w:i/>
          <w:sz w:val="16"/>
          <w:szCs w:val="16"/>
        </w:rPr>
      </w:pPr>
    </w:p>
    <w:p w:rsidR="00FB29ED" w:rsidRPr="005D482E" w:rsidRDefault="00FB29ED" w:rsidP="00FB29ED">
      <w:pPr>
        <w:pStyle w:val="NormalWeb"/>
        <w:spacing w:line="240" w:lineRule="exact"/>
        <w:rPr>
          <w:rFonts w:ascii="Calibri" w:hAnsi="Calibri"/>
          <w:i/>
          <w:color w:val="222222"/>
          <w:sz w:val="20"/>
          <w:szCs w:val="20"/>
        </w:rPr>
      </w:pPr>
    </w:p>
    <w:p w:rsidR="00FB29ED" w:rsidRDefault="00FB29ED" w:rsidP="007A2787">
      <w:pPr>
        <w:autoSpaceDE w:val="0"/>
        <w:autoSpaceDN w:val="0"/>
        <w:adjustRightInd w:val="0"/>
        <w:spacing w:after="0" w:line="240" w:lineRule="auto"/>
        <w:rPr>
          <w:rFonts w:cs="Profile"/>
        </w:rPr>
      </w:pPr>
    </w:p>
    <w:p w:rsidR="00CB0CAB" w:rsidRPr="007A2787" w:rsidRDefault="00CB0CAB" w:rsidP="007A2787">
      <w:pPr>
        <w:autoSpaceDE w:val="0"/>
        <w:autoSpaceDN w:val="0"/>
        <w:adjustRightInd w:val="0"/>
        <w:spacing w:after="0" w:line="240" w:lineRule="auto"/>
        <w:rPr>
          <w:rFonts w:cs="FranklinGothicMediumCond"/>
        </w:rPr>
      </w:pPr>
      <w:r>
        <w:rPr>
          <w:rFonts w:cs="Profile"/>
        </w:rPr>
        <w:t xml:space="preserve"> </w:t>
      </w:r>
    </w:p>
    <w:sectPr w:rsidR="00CB0CAB" w:rsidRPr="007A2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Black">
    <w:altName w:val="Rockwell Extra Bold"/>
    <w:panose1 w:val="02000903030000020004"/>
    <w:charset w:val="00"/>
    <w:family w:val="auto"/>
    <w:pitch w:val="variable"/>
    <w:sig w:usb0="00000000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rofile">
    <w:panose1 w:val="02000506040000020004"/>
    <w:charset w:val="00"/>
    <w:family w:val="auto"/>
    <w:pitch w:val="variable"/>
    <w:sig w:usb0="00000003" w:usb1="00000000" w:usb2="00000000" w:usb3="00000000" w:csb0="00000001" w:csb1="00000000"/>
  </w:font>
  <w:font w:name="FranklinGothicMedium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95866"/>
    <w:multiLevelType w:val="hybridMultilevel"/>
    <w:tmpl w:val="74D23E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742AC"/>
    <w:multiLevelType w:val="hybridMultilevel"/>
    <w:tmpl w:val="CE60D5EC"/>
    <w:lvl w:ilvl="0" w:tplc="1E6A3BC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51"/>
    <w:rsid w:val="00443E51"/>
    <w:rsid w:val="005549E7"/>
    <w:rsid w:val="0060556D"/>
    <w:rsid w:val="006226D8"/>
    <w:rsid w:val="006B1CFD"/>
    <w:rsid w:val="006B39F9"/>
    <w:rsid w:val="007544B9"/>
    <w:rsid w:val="007A2787"/>
    <w:rsid w:val="00852CA3"/>
    <w:rsid w:val="00944AAB"/>
    <w:rsid w:val="00A6141B"/>
    <w:rsid w:val="00C049D8"/>
    <w:rsid w:val="00CB0CAB"/>
    <w:rsid w:val="00D002F2"/>
    <w:rsid w:val="00DC389A"/>
    <w:rsid w:val="00DE0AC3"/>
    <w:rsid w:val="00EC1A9C"/>
    <w:rsid w:val="00FB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26D8"/>
    <w:pPr>
      <w:ind w:left="720"/>
      <w:contextualSpacing/>
    </w:pPr>
  </w:style>
  <w:style w:type="paragraph" w:styleId="NormalWeb">
    <w:name w:val="Normal (Web)"/>
    <w:basedOn w:val="Normal"/>
    <w:rsid w:val="00FB29E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26D8"/>
    <w:pPr>
      <w:ind w:left="720"/>
      <w:contextualSpacing/>
    </w:pPr>
  </w:style>
  <w:style w:type="paragraph" w:styleId="NormalWeb">
    <w:name w:val="Normal (Web)"/>
    <w:basedOn w:val="Normal"/>
    <w:rsid w:val="00FB29E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502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Fadil FOONDUN</dc:creator>
  <cp:keywords/>
  <dc:description/>
  <cp:lastModifiedBy>Fadil FOONDUN</cp:lastModifiedBy>
  <cp:revision>11</cp:revision>
  <cp:lastPrinted>2016-07-25T13:28:00Z</cp:lastPrinted>
  <dcterms:created xsi:type="dcterms:W3CDTF">2016-07-25T08:18:00Z</dcterms:created>
  <dcterms:modified xsi:type="dcterms:W3CDTF">2016-07-25T14:46:00Z</dcterms:modified>
</cp:coreProperties>
</file>